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CC6F18" w14:textId="77777777" w:rsidR="003821E3" w:rsidRPr="00D1551B" w:rsidRDefault="003821E3" w:rsidP="003821E3">
      <w:pPr>
        <w:shd w:val="clear" w:color="auto" w:fill="FFFFFF"/>
        <w:spacing w:after="0" w:line="240" w:lineRule="auto"/>
        <w:ind w:left="5760" w:firstLine="720"/>
        <w:jc w:val="both"/>
        <w:rPr>
          <w:rStyle w:val="Strong"/>
          <w:rFonts w:cstheme="minorHAnsi"/>
          <w:color w:val="0E101A"/>
          <w:sz w:val="24"/>
          <w:szCs w:val="24"/>
        </w:rPr>
      </w:pPr>
      <w:r>
        <w:rPr>
          <w:rStyle w:val="Strong"/>
          <w:rFonts w:cstheme="minorHAnsi"/>
          <w:noProof/>
          <w:color w:val="0E101A"/>
          <w:sz w:val="24"/>
          <w:szCs w:val="24"/>
          <w:lang w:val="fr-FR"/>
        </w:rPr>
        <w:drawing>
          <wp:anchor distT="0" distB="0" distL="114300" distR="114300" simplePos="0" relativeHeight="251660288" behindDoc="1" locked="0" layoutInCell="1" allowOverlap="1" wp14:anchorId="2BD1EEC9" wp14:editId="2FC25F46">
            <wp:simplePos x="0" y="0"/>
            <wp:positionH relativeFrom="column">
              <wp:posOffset>4864100</wp:posOffset>
            </wp:positionH>
            <wp:positionV relativeFrom="paragraph">
              <wp:posOffset>6350</wp:posOffset>
            </wp:positionV>
            <wp:extent cx="1289050" cy="282575"/>
            <wp:effectExtent l="0" t="0" r="6350" b="3175"/>
            <wp:wrapTight wrapText="bothSides">
              <wp:wrapPolygon edited="0">
                <wp:start x="0" y="0"/>
                <wp:lineTo x="0" y="20387"/>
                <wp:lineTo x="21387" y="20387"/>
                <wp:lineTo x="21387" y="0"/>
                <wp:lineTo x="0" y="0"/>
              </wp:wrapPolygon>
            </wp:wrapTight>
            <wp:docPr id="2" name="Picture 2" descr="D:\Logo\Soli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ogo\Solis logo.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89050" cy="282575"/>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Strong"/>
          <w:rFonts w:cstheme="minorHAnsi"/>
          <w:color w:val="0E101A"/>
          <w:sz w:val="28"/>
          <w:szCs w:val="28"/>
          <w:lang w:val="fr-FR"/>
        </w:rPr>
        <w:tab/>
      </w:r>
      <w:r>
        <w:rPr>
          <w:rStyle w:val="Strong"/>
          <w:rFonts w:cstheme="minorHAnsi"/>
          <w:color w:val="0E101A"/>
          <w:sz w:val="28"/>
          <w:szCs w:val="28"/>
          <w:lang w:val="fr-FR"/>
        </w:rPr>
        <w:tab/>
      </w:r>
      <w:r>
        <w:rPr>
          <w:rStyle w:val="Strong"/>
          <w:rFonts w:cstheme="minorHAnsi"/>
          <w:color w:val="0E101A"/>
          <w:sz w:val="28"/>
          <w:szCs w:val="28"/>
          <w:lang w:val="fr-FR"/>
        </w:rPr>
        <w:tab/>
      </w:r>
      <w:r>
        <w:rPr>
          <w:rStyle w:val="Strong"/>
          <w:rFonts w:cstheme="minorHAnsi"/>
          <w:color w:val="0E101A"/>
          <w:sz w:val="28"/>
          <w:szCs w:val="28"/>
          <w:lang w:val="fr-FR"/>
        </w:rPr>
        <w:tab/>
      </w:r>
      <w:r>
        <w:rPr>
          <w:rStyle w:val="Strong"/>
          <w:rFonts w:cstheme="minorHAnsi"/>
          <w:color w:val="0E101A"/>
          <w:sz w:val="28"/>
          <w:szCs w:val="28"/>
          <w:lang w:val="fr-FR"/>
        </w:rPr>
        <w:tab/>
      </w:r>
      <w:r>
        <w:rPr>
          <w:rStyle w:val="Strong"/>
          <w:rFonts w:cstheme="minorHAnsi"/>
          <w:color w:val="0E101A"/>
          <w:sz w:val="28"/>
          <w:szCs w:val="28"/>
          <w:lang w:val="fr-FR"/>
        </w:rPr>
        <w:tab/>
      </w:r>
      <w:r>
        <w:rPr>
          <w:rFonts w:cstheme="minorHAnsi"/>
          <w:noProof/>
          <w:sz w:val="24"/>
          <w:szCs w:val="24"/>
          <w:lang w:val="fr-FR"/>
        </w:rPr>
        <w:drawing>
          <wp:anchor distT="0" distB="0" distL="114300" distR="114300" simplePos="0" relativeHeight="251659264" behindDoc="1" locked="0" layoutInCell="1" allowOverlap="1" wp14:anchorId="4ECDDA7E" wp14:editId="4A43FA5A">
            <wp:simplePos x="0" y="0"/>
            <wp:positionH relativeFrom="margin">
              <wp:align>left</wp:align>
            </wp:positionH>
            <wp:positionV relativeFrom="paragraph">
              <wp:posOffset>8734</wp:posOffset>
            </wp:positionV>
            <wp:extent cx="2176194" cy="262424"/>
            <wp:effectExtent l="0" t="0" r="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76194" cy="262424"/>
                    </a:xfrm>
                    <a:prstGeom prst="rect">
                      <a:avLst/>
                    </a:prstGeom>
                    <a:noFill/>
                    <a:ln>
                      <a:noFill/>
                    </a:ln>
                  </pic:spPr>
                </pic:pic>
              </a:graphicData>
            </a:graphic>
            <wp14:sizeRelH relativeFrom="margin">
              <wp14:pctWidth>0</wp14:pctWidth>
            </wp14:sizeRelH>
            <wp14:sizeRelV relativeFrom="margin">
              <wp14:pctHeight>0</wp14:pctHeight>
            </wp14:sizeRelV>
          </wp:anchor>
        </w:drawing>
      </w:r>
      <w:r>
        <w:rPr>
          <w:rStyle w:val="Strong"/>
          <w:rFonts w:cstheme="minorHAnsi"/>
          <w:color w:val="0E101A"/>
          <w:sz w:val="24"/>
          <w:szCs w:val="24"/>
          <w:lang w:val="fr-FR"/>
        </w:rPr>
        <w:tab/>
      </w:r>
      <w:r>
        <w:rPr>
          <w:rStyle w:val="Strong"/>
          <w:rFonts w:cstheme="minorHAnsi"/>
          <w:color w:val="0E101A"/>
          <w:sz w:val="24"/>
          <w:szCs w:val="24"/>
          <w:lang w:val="fr-FR"/>
        </w:rPr>
        <w:tab/>
      </w:r>
      <w:r>
        <w:rPr>
          <w:rStyle w:val="Strong"/>
          <w:rFonts w:cstheme="minorHAnsi"/>
          <w:color w:val="0E101A"/>
          <w:sz w:val="24"/>
          <w:szCs w:val="24"/>
          <w:lang w:val="fr-FR"/>
        </w:rPr>
        <w:tab/>
      </w:r>
      <w:r>
        <w:rPr>
          <w:rStyle w:val="Strong"/>
          <w:rFonts w:cstheme="minorHAnsi"/>
          <w:color w:val="0E101A"/>
          <w:sz w:val="24"/>
          <w:szCs w:val="24"/>
          <w:lang w:val="fr-FR"/>
        </w:rPr>
        <w:tab/>
      </w:r>
    </w:p>
    <w:p w14:paraId="5DCEA1E4" w14:textId="2BDDE05F" w:rsidR="003821E3" w:rsidRPr="002C56B9" w:rsidRDefault="002C56B9" w:rsidP="002C56B9">
      <w:pPr>
        <w:shd w:val="clear" w:color="auto" w:fill="FFFFFF"/>
        <w:spacing w:after="0" w:line="240" w:lineRule="auto"/>
        <w:jc w:val="both"/>
        <w:rPr>
          <w:rStyle w:val="Strong"/>
          <w:rFonts w:cstheme="minorHAnsi"/>
          <w:color w:val="0E101A"/>
          <w:sz w:val="24"/>
          <w:szCs w:val="24"/>
          <w:lang w:val="fr-FR"/>
        </w:rPr>
      </w:pPr>
      <w:r>
        <w:rPr>
          <w:rFonts w:cstheme="minorHAnsi"/>
          <w:sz w:val="24"/>
          <w:szCs w:val="24"/>
          <w:lang w:val="fr-FR"/>
        </w:rPr>
        <w:t xml:space="preserve">                                                                                                           </w:t>
      </w:r>
      <w:r w:rsidR="003821E3">
        <w:rPr>
          <w:rFonts w:cstheme="minorHAnsi"/>
          <w:sz w:val="24"/>
          <w:szCs w:val="24"/>
          <w:lang w:val="fr-FR"/>
        </w:rPr>
        <w:t>POUR PUBLICATION IMMÉDIATE</w:t>
      </w:r>
    </w:p>
    <w:p w14:paraId="5B258E2E" w14:textId="77777777" w:rsidR="003821E3" w:rsidRPr="002C56B9" w:rsidRDefault="003821E3" w:rsidP="003821E3">
      <w:pPr>
        <w:shd w:val="clear" w:color="auto" w:fill="FFFFFF"/>
        <w:spacing w:after="0" w:line="240" w:lineRule="auto"/>
        <w:jc w:val="both"/>
        <w:rPr>
          <w:rStyle w:val="Strong"/>
          <w:rFonts w:cstheme="minorHAnsi"/>
          <w:color w:val="0E101A"/>
          <w:sz w:val="24"/>
          <w:szCs w:val="24"/>
          <w:lang w:val="fr-FR"/>
        </w:rPr>
      </w:pPr>
    </w:p>
    <w:p w14:paraId="4ACC5932" w14:textId="77777777" w:rsidR="003821E3" w:rsidRPr="002C56B9" w:rsidRDefault="003821E3" w:rsidP="003821E3">
      <w:pPr>
        <w:shd w:val="clear" w:color="auto" w:fill="FFFFFF"/>
        <w:spacing w:after="0" w:line="240" w:lineRule="auto"/>
        <w:jc w:val="both"/>
        <w:rPr>
          <w:rFonts w:eastAsia="Times New Roman" w:cstheme="minorHAnsi"/>
          <w:b/>
          <w:iCs/>
          <w:color w:val="222222"/>
          <w:sz w:val="28"/>
          <w:szCs w:val="28"/>
          <w:lang w:val="fr-FR"/>
        </w:rPr>
      </w:pPr>
      <w:r>
        <w:rPr>
          <w:rStyle w:val="Strong"/>
          <w:rFonts w:cstheme="minorHAnsi"/>
          <w:color w:val="0E101A"/>
          <w:sz w:val="28"/>
          <w:szCs w:val="28"/>
          <w:lang w:val="fr-FR"/>
        </w:rPr>
        <w:t>ITL et Yanmar collaborent pour améliorer leur offre de produits axée sur le client, l’excellence de leur service, et étendre le portefeuille de produits et la portée du marché en Europe.</w:t>
      </w:r>
    </w:p>
    <w:p w14:paraId="1C86AEE1" w14:textId="77777777" w:rsidR="003821E3" w:rsidRPr="002C56B9" w:rsidRDefault="003821E3" w:rsidP="003821E3">
      <w:pPr>
        <w:shd w:val="clear" w:color="auto" w:fill="FFFFFF"/>
        <w:spacing w:after="0" w:line="240" w:lineRule="auto"/>
        <w:jc w:val="both"/>
        <w:rPr>
          <w:rFonts w:eastAsia="Times New Roman" w:cstheme="minorHAnsi"/>
          <w:color w:val="222222"/>
          <w:sz w:val="24"/>
          <w:szCs w:val="24"/>
          <w:lang w:val="fr-FR"/>
        </w:rPr>
      </w:pPr>
    </w:p>
    <w:p w14:paraId="75EFADCD" w14:textId="2B6950DB" w:rsidR="003821E3" w:rsidRPr="002C56B9" w:rsidRDefault="003821E3" w:rsidP="003821E3">
      <w:pPr>
        <w:shd w:val="clear" w:color="auto" w:fill="FFFFFF"/>
        <w:spacing w:after="0" w:line="240" w:lineRule="auto"/>
        <w:jc w:val="both"/>
        <w:rPr>
          <w:rFonts w:eastAsia="Times New Roman" w:cstheme="minorHAnsi"/>
          <w:color w:val="222222"/>
          <w:sz w:val="24"/>
          <w:szCs w:val="24"/>
          <w:lang w:val="fr-FR"/>
        </w:rPr>
      </w:pPr>
      <w:r>
        <w:rPr>
          <w:rFonts w:eastAsia="Times New Roman" w:cstheme="minorHAnsi"/>
          <w:b/>
          <w:bCs/>
          <w:color w:val="222222"/>
          <w:sz w:val="24"/>
          <w:szCs w:val="24"/>
          <w:lang w:val="fr-FR"/>
        </w:rPr>
        <w:t>Hanovre, Allemagne (</w:t>
      </w:r>
      <w:proofErr w:type="gramStart"/>
      <w:r>
        <w:rPr>
          <w:rFonts w:eastAsia="Times New Roman" w:cstheme="minorHAnsi"/>
          <w:b/>
          <w:bCs/>
          <w:color w:val="222222"/>
          <w:sz w:val="24"/>
          <w:szCs w:val="24"/>
          <w:lang w:val="fr-FR"/>
        </w:rPr>
        <w:t>12</w:t>
      </w:r>
      <w:r>
        <w:rPr>
          <w:rFonts w:eastAsia="Times New Roman" w:cstheme="minorHAnsi"/>
          <w:b/>
          <w:bCs/>
          <w:color w:val="222222"/>
          <w:sz w:val="24"/>
          <w:szCs w:val="24"/>
          <w:vertAlign w:val="superscript"/>
          <w:lang w:val="fr-FR"/>
        </w:rPr>
        <w:t xml:space="preserve"> </w:t>
      </w:r>
      <w:r>
        <w:rPr>
          <w:rFonts w:eastAsia="Times New Roman" w:cstheme="minorHAnsi"/>
          <w:b/>
          <w:bCs/>
          <w:color w:val="222222"/>
          <w:sz w:val="24"/>
          <w:szCs w:val="24"/>
          <w:lang w:val="fr-FR"/>
        </w:rPr>
        <w:t xml:space="preserve"> novembre</w:t>
      </w:r>
      <w:proofErr w:type="gramEnd"/>
      <w:r>
        <w:rPr>
          <w:rFonts w:eastAsia="Times New Roman" w:cstheme="minorHAnsi"/>
          <w:b/>
          <w:bCs/>
          <w:color w:val="222222"/>
          <w:sz w:val="24"/>
          <w:szCs w:val="24"/>
          <w:lang w:val="fr-FR"/>
        </w:rPr>
        <w:t xml:space="preserve"> 2023) –</w:t>
      </w:r>
      <w:r>
        <w:rPr>
          <w:rFonts w:eastAsia="Times New Roman" w:cstheme="minorHAnsi"/>
          <w:color w:val="222222"/>
          <w:sz w:val="24"/>
          <w:szCs w:val="24"/>
          <w:lang w:val="fr-FR"/>
        </w:rPr>
        <w:t xml:space="preserve"> International Tractors Limited (ITL) et Yanmar sont heureux d’annoncer leur collaboration officielle, qui renforcera le portefeuille de produits, le réseau et les capacités de service du marché agricole européen pour répondre aux besoins des clients.</w:t>
      </w:r>
    </w:p>
    <w:p w14:paraId="06EB76EE" w14:textId="77777777" w:rsidR="003821E3" w:rsidRPr="002C56B9" w:rsidRDefault="003821E3" w:rsidP="003821E3">
      <w:pPr>
        <w:shd w:val="clear" w:color="auto" w:fill="FFFFFF"/>
        <w:spacing w:after="0" w:line="240" w:lineRule="auto"/>
        <w:jc w:val="both"/>
        <w:rPr>
          <w:rFonts w:eastAsia="Times New Roman" w:cstheme="minorHAnsi"/>
          <w:color w:val="222222"/>
          <w:sz w:val="24"/>
          <w:szCs w:val="24"/>
          <w:lang w:val="fr-FR"/>
        </w:rPr>
      </w:pPr>
    </w:p>
    <w:p w14:paraId="123E39D8" w14:textId="024FBE06" w:rsidR="003821E3" w:rsidRPr="002C56B9" w:rsidRDefault="003821E3" w:rsidP="003821E3">
      <w:pPr>
        <w:shd w:val="clear" w:color="auto" w:fill="FFFFFF"/>
        <w:spacing w:after="0" w:line="240" w:lineRule="auto"/>
        <w:jc w:val="both"/>
        <w:rPr>
          <w:rFonts w:eastAsia="Times New Roman" w:cstheme="minorHAnsi"/>
          <w:color w:val="222222"/>
          <w:sz w:val="24"/>
          <w:szCs w:val="24"/>
          <w:lang w:val="fr-FR"/>
        </w:rPr>
      </w:pPr>
      <w:r>
        <w:rPr>
          <w:rFonts w:eastAsia="Times New Roman" w:cstheme="minorHAnsi"/>
          <w:color w:val="222222"/>
          <w:sz w:val="24"/>
          <w:szCs w:val="24"/>
          <w:lang w:val="fr-FR"/>
        </w:rPr>
        <w:t>Grâce au vaste réseau des deux entreprises, ce partenariat stratégique est en mesure d’élargir considérablement la portée du marché des deux marques. ITL et Yanmar aspirent à fournir un service client inégalé et des produits technologiquement avancés dans toute l’Europe en tirant parti de leur expertise et de leurs ressources collectives.</w:t>
      </w:r>
    </w:p>
    <w:p w14:paraId="783DBB7A" w14:textId="77777777" w:rsidR="003821E3" w:rsidRPr="002C56B9" w:rsidRDefault="003821E3" w:rsidP="003821E3">
      <w:pPr>
        <w:shd w:val="clear" w:color="auto" w:fill="FFFFFF"/>
        <w:spacing w:after="0" w:line="240" w:lineRule="auto"/>
        <w:jc w:val="both"/>
        <w:rPr>
          <w:rFonts w:eastAsia="Times New Roman" w:cstheme="minorHAnsi"/>
          <w:color w:val="222222"/>
          <w:sz w:val="24"/>
          <w:szCs w:val="24"/>
          <w:lang w:val="fr-FR"/>
        </w:rPr>
      </w:pPr>
    </w:p>
    <w:p w14:paraId="734E375F" w14:textId="77777777" w:rsidR="003821E3" w:rsidRPr="002C56B9" w:rsidRDefault="003821E3" w:rsidP="003821E3">
      <w:pPr>
        <w:shd w:val="clear" w:color="auto" w:fill="FFFFFF"/>
        <w:spacing w:after="0" w:line="276" w:lineRule="auto"/>
        <w:jc w:val="both"/>
        <w:rPr>
          <w:rFonts w:eastAsia="Times New Roman" w:cstheme="minorHAnsi"/>
          <w:color w:val="222222"/>
          <w:sz w:val="24"/>
          <w:szCs w:val="24"/>
          <w:lang w:val="fr-FR"/>
        </w:rPr>
      </w:pPr>
      <w:r>
        <w:rPr>
          <w:rFonts w:eastAsia="Times New Roman" w:cstheme="minorHAnsi"/>
          <w:color w:val="222222"/>
          <w:sz w:val="24"/>
          <w:szCs w:val="24"/>
          <w:lang w:val="fr-FR"/>
        </w:rPr>
        <w:t>Les deux entreprises visent à étendre leur offre sur le marché européen, allant de tracteurs de puissance inférieure à supérieure (16-110 ch). Cette collaboration s’appuie sur le partenariat fructueux entre ITL et Yanmar dans plusieurs pays, et notamment le Brésil, la Turquie, la Thaïlande, les Philippines, et sur des livraisons rapides de pièces depuis le centre de pièces détachées en Allemagne et aux Pays-Bas pour le réseau de service européen.</w:t>
      </w:r>
    </w:p>
    <w:p w14:paraId="1AAF21B0" w14:textId="77777777" w:rsidR="003821E3" w:rsidRPr="002C56B9" w:rsidRDefault="003821E3" w:rsidP="003821E3">
      <w:pPr>
        <w:shd w:val="clear" w:color="auto" w:fill="FFFFFF"/>
        <w:spacing w:after="0" w:line="276" w:lineRule="auto"/>
        <w:jc w:val="both"/>
        <w:rPr>
          <w:rFonts w:eastAsia="Times New Roman" w:cstheme="minorHAnsi"/>
          <w:color w:val="222222"/>
          <w:sz w:val="24"/>
          <w:szCs w:val="24"/>
          <w:lang w:val="fr-FR"/>
        </w:rPr>
      </w:pPr>
    </w:p>
    <w:p w14:paraId="4BAC1F40" w14:textId="77777777" w:rsidR="003821E3" w:rsidRPr="002C56B9" w:rsidRDefault="003821E3" w:rsidP="003821E3">
      <w:pPr>
        <w:shd w:val="clear" w:color="auto" w:fill="FFFFFF"/>
        <w:spacing w:after="0" w:line="276" w:lineRule="auto"/>
        <w:jc w:val="both"/>
        <w:rPr>
          <w:rFonts w:eastAsia="Times New Roman" w:cstheme="minorHAnsi"/>
          <w:color w:val="222222"/>
          <w:sz w:val="24"/>
          <w:szCs w:val="24"/>
          <w:lang w:val="fr-FR"/>
        </w:rPr>
      </w:pPr>
      <w:r>
        <w:rPr>
          <w:rFonts w:eastAsia="Times New Roman" w:cstheme="minorHAnsi"/>
          <w:b/>
          <w:bCs/>
          <w:color w:val="222222"/>
          <w:sz w:val="24"/>
          <w:szCs w:val="24"/>
          <w:lang w:val="fr-FR"/>
        </w:rPr>
        <w:t>«</w:t>
      </w:r>
      <w:r>
        <w:rPr>
          <w:rFonts w:eastAsia="Times New Roman" w:cstheme="minorHAnsi"/>
          <w:color w:val="222222"/>
          <w:sz w:val="24"/>
          <w:szCs w:val="24"/>
          <w:lang w:val="fr-FR"/>
        </w:rPr>
        <w:t> </w:t>
      </w:r>
      <w:r>
        <w:rPr>
          <w:rFonts w:eastAsia="Times New Roman" w:cstheme="minorHAnsi"/>
          <w:b/>
          <w:bCs/>
          <w:color w:val="222222"/>
          <w:sz w:val="24"/>
          <w:szCs w:val="24"/>
          <w:lang w:val="fr-FR"/>
        </w:rPr>
        <w:t>Notre synergie a été prouvée sur ces marchés et nous étudions la possibilité d’étendre notre partenariat au marché européen à</w:t>
      </w:r>
      <w:r>
        <w:rPr>
          <w:rFonts w:eastAsia="Times New Roman" w:cstheme="minorHAnsi"/>
          <w:color w:val="222222"/>
          <w:sz w:val="24"/>
          <w:szCs w:val="24"/>
          <w:lang w:val="fr-FR"/>
        </w:rPr>
        <w:t xml:space="preserve"> </w:t>
      </w:r>
      <w:r>
        <w:rPr>
          <w:rFonts w:eastAsia="Times New Roman" w:cstheme="minorHAnsi"/>
          <w:b/>
          <w:bCs/>
          <w:color w:val="222222"/>
          <w:sz w:val="24"/>
          <w:szCs w:val="24"/>
          <w:lang w:val="fr-FR"/>
        </w:rPr>
        <w:t>l’avenir.</w:t>
      </w:r>
      <w:r>
        <w:rPr>
          <w:rFonts w:eastAsia="Times New Roman" w:cstheme="minorHAnsi"/>
          <w:color w:val="222222"/>
          <w:sz w:val="24"/>
          <w:szCs w:val="24"/>
          <w:lang w:val="fr-FR"/>
        </w:rPr>
        <w:t xml:space="preserve"> » M. Gaurav Saxena, Directeur et PDG d’ITL, explique : « Nous sommes ravis de collaborer avec Yanmar pour étendre notre offre de produits en Europe. Cette collaboration nous permettra de tirer parti de notre réseau de concessionnaires et de notre expertise pour fournir aux clients européens une gamme plus large de tracteurs fiables et innovants. »  </w:t>
      </w:r>
    </w:p>
    <w:p w14:paraId="2537AA93" w14:textId="77777777" w:rsidR="003821E3" w:rsidRPr="002C56B9" w:rsidRDefault="003821E3" w:rsidP="003821E3">
      <w:pPr>
        <w:shd w:val="clear" w:color="auto" w:fill="FFFFFF"/>
        <w:spacing w:after="0" w:line="240" w:lineRule="auto"/>
        <w:jc w:val="both"/>
        <w:rPr>
          <w:rFonts w:eastAsia="Times New Roman" w:cstheme="minorHAnsi"/>
          <w:color w:val="222222"/>
          <w:sz w:val="24"/>
          <w:szCs w:val="24"/>
          <w:lang w:val="fr-FR"/>
        </w:rPr>
      </w:pPr>
    </w:p>
    <w:p w14:paraId="63979873" w14:textId="77777777" w:rsidR="003821E3" w:rsidRPr="002C56B9" w:rsidRDefault="003821E3" w:rsidP="003821E3">
      <w:pPr>
        <w:shd w:val="clear" w:color="auto" w:fill="FFFFFF"/>
        <w:spacing w:after="0" w:line="276" w:lineRule="auto"/>
        <w:jc w:val="both"/>
        <w:rPr>
          <w:rFonts w:eastAsia="Times New Roman" w:cstheme="minorHAnsi"/>
          <w:color w:val="222222"/>
          <w:sz w:val="24"/>
          <w:szCs w:val="24"/>
          <w:lang w:val="fr-FR"/>
        </w:rPr>
      </w:pPr>
      <w:r>
        <w:rPr>
          <w:rFonts w:eastAsia="Times New Roman" w:cstheme="minorHAnsi"/>
          <w:color w:val="222222"/>
          <w:sz w:val="24"/>
          <w:szCs w:val="24"/>
          <w:lang w:val="fr-FR"/>
        </w:rPr>
        <w:t>M. Samir Laoukili, Président de Yanmar Europe, a ajouté : « ITL et Yanmar s’engagent à donner aux agriculteurs européens des solutions de machines agricoles avancées qui répondent à leurs besoins en constante évolution. En travaillant ensemble, nous visons à renforcer notre solide présence sur le marché européen et à fournir aux agriculteurs un accès à une gamme complète de tracteurs de haute qualité ainsi qu’un service client de premier ordre. »</w:t>
      </w:r>
    </w:p>
    <w:p w14:paraId="49C065D1" w14:textId="77777777" w:rsidR="003821E3" w:rsidRPr="002C56B9" w:rsidRDefault="003821E3" w:rsidP="003821E3">
      <w:pPr>
        <w:shd w:val="clear" w:color="auto" w:fill="FFFFFF"/>
        <w:spacing w:after="0" w:line="276" w:lineRule="auto"/>
        <w:jc w:val="both"/>
        <w:rPr>
          <w:rFonts w:eastAsia="Times New Roman" w:cstheme="minorHAnsi"/>
          <w:color w:val="222222"/>
          <w:sz w:val="24"/>
          <w:szCs w:val="24"/>
          <w:lang w:val="fr-FR"/>
        </w:rPr>
      </w:pPr>
    </w:p>
    <w:p w14:paraId="750EEE4C" w14:textId="77777777" w:rsidR="003821E3" w:rsidRPr="002C56B9" w:rsidRDefault="003821E3" w:rsidP="003821E3">
      <w:pPr>
        <w:pStyle w:val="NormalWeb"/>
        <w:spacing w:after="270" w:line="276" w:lineRule="auto"/>
        <w:jc w:val="both"/>
        <w:textAlignment w:val="baseline"/>
        <w:rPr>
          <w:rFonts w:asciiTheme="minorHAnsi" w:eastAsia="Meiryo" w:hAnsiTheme="minorHAnsi" w:cstheme="minorHAnsi"/>
          <w:color w:val="333333"/>
          <w:lang w:val="fr-FR"/>
        </w:rPr>
      </w:pPr>
      <w:r>
        <w:rPr>
          <w:rFonts w:asciiTheme="minorHAnsi" w:eastAsia="Meiryo" w:hAnsiTheme="minorHAnsi" w:cstheme="minorHAnsi"/>
          <w:color w:val="333333"/>
          <w:lang w:val="fr-FR"/>
        </w:rPr>
        <w:t>Yanmar a d’abord investi dans ITL en 2005 et a fourni des conseils techniques à ITL par le passé. Cherchant à augmenter considérablement ses ventes, Yanmar a acquis des actions ITL supplémentaires, atteignant ainsi les 30 % de parts dans la société.</w:t>
      </w:r>
    </w:p>
    <w:p w14:paraId="58D8BE9D" w14:textId="77777777" w:rsidR="003821E3" w:rsidRPr="002C56B9" w:rsidRDefault="003821E3" w:rsidP="003821E3">
      <w:pPr>
        <w:shd w:val="clear" w:color="auto" w:fill="FFFFFF"/>
        <w:spacing w:after="0" w:line="240" w:lineRule="auto"/>
        <w:jc w:val="both"/>
        <w:rPr>
          <w:rFonts w:eastAsia="Times New Roman" w:cstheme="minorHAnsi"/>
          <w:color w:val="222222"/>
          <w:sz w:val="24"/>
          <w:szCs w:val="24"/>
          <w:lang w:val="fr-FR"/>
        </w:rPr>
      </w:pPr>
    </w:p>
    <w:p w14:paraId="0E15612F" w14:textId="77777777" w:rsidR="003821E3" w:rsidRPr="002C56B9" w:rsidDel="008F2F2F" w:rsidRDefault="003821E3" w:rsidP="003821E3">
      <w:pPr>
        <w:shd w:val="clear" w:color="auto" w:fill="FFFFFF"/>
        <w:spacing w:after="0" w:line="240" w:lineRule="auto"/>
        <w:jc w:val="both"/>
        <w:rPr>
          <w:rFonts w:eastAsia="Times New Roman" w:cstheme="minorHAnsi"/>
          <w:color w:val="222222"/>
          <w:sz w:val="24"/>
          <w:szCs w:val="24"/>
          <w:lang w:val="fr-FR"/>
        </w:rPr>
      </w:pPr>
    </w:p>
    <w:p w14:paraId="653DFAE0" w14:textId="77777777" w:rsidR="003821E3" w:rsidRPr="002C56B9" w:rsidRDefault="003821E3" w:rsidP="003821E3">
      <w:pPr>
        <w:shd w:val="clear" w:color="auto" w:fill="FFFFFF"/>
        <w:spacing w:after="0" w:line="276" w:lineRule="auto"/>
        <w:jc w:val="both"/>
        <w:rPr>
          <w:rFonts w:eastAsia="Times New Roman" w:cstheme="minorHAnsi"/>
          <w:b/>
          <w:bCs/>
          <w:color w:val="222222"/>
          <w:sz w:val="24"/>
          <w:szCs w:val="24"/>
          <w:lang w:val="fr-FR"/>
        </w:rPr>
      </w:pPr>
      <w:r>
        <w:rPr>
          <w:rFonts w:eastAsia="Times New Roman" w:cstheme="minorHAnsi"/>
          <w:b/>
          <w:bCs/>
          <w:color w:val="222222"/>
          <w:sz w:val="24"/>
          <w:szCs w:val="24"/>
          <w:lang w:val="fr-FR"/>
        </w:rPr>
        <w:t xml:space="preserve">À propos d’International </w:t>
      </w:r>
      <w:proofErr w:type="spellStart"/>
      <w:r>
        <w:rPr>
          <w:rFonts w:eastAsia="Times New Roman" w:cstheme="minorHAnsi"/>
          <w:b/>
          <w:bCs/>
          <w:color w:val="222222"/>
          <w:sz w:val="24"/>
          <w:szCs w:val="24"/>
          <w:lang w:val="fr-FR"/>
        </w:rPr>
        <w:t>Tractors</w:t>
      </w:r>
      <w:proofErr w:type="spellEnd"/>
      <w:r>
        <w:rPr>
          <w:rFonts w:eastAsia="Times New Roman" w:cstheme="minorHAnsi"/>
          <w:b/>
          <w:bCs/>
          <w:color w:val="222222"/>
          <w:sz w:val="24"/>
          <w:szCs w:val="24"/>
          <w:lang w:val="fr-FR"/>
        </w:rPr>
        <w:t xml:space="preserve"> Limited </w:t>
      </w:r>
    </w:p>
    <w:p w14:paraId="15CE4310" w14:textId="4C548E65" w:rsidR="003821E3" w:rsidRPr="002C56B9" w:rsidRDefault="003821E3" w:rsidP="003821E3">
      <w:pPr>
        <w:shd w:val="clear" w:color="auto" w:fill="FFFFFF"/>
        <w:spacing w:after="0" w:line="276" w:lineRule="auto"/>
        <w:jc w:val="both"/>
        <w:rPr>
          <w:rFonts w:eastAsia="Times New Roman" w:cstheme="minorHAnsi"/>
          <w:color w:val="222222"/>
          <w:sz w:val="24"/>
          <w:szCs w:val="24"/>
          <w:lang w:val="fr-FR"/>
        </w:rPr>
      </w:pPr>
      <w:r>
        <w:rPr>
          <w:rFonts w:eastAsia="Times New Roman" w:cstheme="minorHAnsi"/>
          <w:color w:val="222222"/>
          <w:sz w:val="24"/>
          <w:szCs w:val="24"/>
          <w:lang w:val="fr-FR"/>
        </w:rPr>
        <w:t xml:space="preserve">International </w:t>
      </w:r>
      <w:proofErr w:type="spellStart"/>
      <w:r>
        <w:rPr>
          <w:rFonts w:eastAsia="Times New Roman" w:cstheme="minorHAnsi"/>
          <w:color w:val="222222"/>
          <w:sz w:val="24"/>
          <w:szCs w:val="24"/>
          <w:lang w:val="fr-FR"/>
        </w:rPr>
        <w:t>Tractors</w:t>
      </w:r>
      <w:proofErr w:type="spellEnd"/>
      <w:r>
        <w:rPr>
          <w:rFonts w:eastAsia="Times New Roman" w:cstheme="minorHAnsi"/>
          <w:color w:val="222222"/>
          <w:sz w:val="24"/>
          <w:szCs w:val="24"/>
          <w:lang w:val="fr-FR"/>
        </w:rPr>
        <w:t xml:space="preserve"> Limited (ITL) est un important fabricant de tracteurs et de machines agricoles. Fort d’une forte présence mondiale, ITL s’engage à fournir des solutions fiables et de pointe aux agriculteurs du monde entier. ITL est la plus grande marque de tracteurs d’Europe en provenance d’Inde. Elle est première sur le segment adressable sur des marchés importants tels que l’Allemagne, la France, le Royaume-Uni, le Portugal, l’Espagne, la Hongrie et la République tchèque.  </w:t>
      </w:r>
    </w:p>
    <w:p w14:paraId="24EF6E91" w14:textId="77777777" w:rsidR="003821E3" w:rsidRPr="002C56B9" w:rsidRDefault="003821E3" w:rsidP="003821E3">
      <w:pPr>
        <w:shd w:val="clear" w:color="auto" w:fill="FFFFFF"/>
        <w:spacing w:after="0" w:line="276" w:lineRule="auto"/>
        <w:jc w:val="both"/>
        <w:rPr>
          <w:rFonts w:eastAsia="Times New Roman" w:cstheme="minorHAnsi"/>
          <w:color w:val="222222"/>
          <w:sz w:val="24"/>
          <w:szCs w:val="24"/>
          <w:lang w:val="fr-FR"/>
        </w:rPr>
      </w:pPr>
    </w:p>
    <w:p w14:paraId="10717B88" w14:textId="77777777" w:rsidR="003821E3" w:rsidRPr="002C56B9" w:rsidRDefault="003821E3" w:rsidP="003821E3">
      <w:pPr>
        <w:shd w:val="clear" w:color="auto" w:fill="FFFFFF"/>
        <w:spacing w:after="0" w:line="276" w:lineRule="auto"/>
        <w:jc w:val="both"/>
        <w:rPr>
          <w:rFonts w:eastAsia="Times New Roman" w:cstheme="minorHAnsi"/>
          <w:b/>
          <w:bCs/>
          <w:color w:val="222222"/>
          <w:sz w:val="24"/>
          <w:szCs w:val="24"/>
          <w:lang w:val="fr-FR"/>
        </w:rPr>
      </w:pPr>
      <w:r>
        <w:rPr>
          <w:rFonts w:eastAsia="Times New Roman" w:cstheme="minorHAnsi"/>
          <w:b/>
          <w:bCs/>
          <w:color w:val="222222"/>
          <w:sz w:val="24"/>
          <w:szCs w:val="24"/>
          <w:lang w:val="fr-FR"/>
        </w:rPr>
        <w:t xml:space="preserve">À propos de Yanmar </w:t>
      </w:r>
    </w:p>
    <w:p w14:paraId="6C9CD57D" w14:textId="77777777" w:rsidR="003821E3" w:rsidRPr="002C56B9" w:rsidRDefault="003821E3" w:rsidP="003821E3">
      <w:pPr>
        <w:spacing w:after="270" w:line="276" w:lineRule="auto"/>
        <w:jc w:val="both"/>
        <w:textAlignment w:val="baseline"/>
        <w:rPr>
          <w:rFonts w:eastAsia="Meiryo" w:cstheme="minorHAnsi"/>
          <w:color w:val="333333"/>
          <w:sz w:val="24"/>
          <w:szCs w:val="24"/>
          <w:lang w:val="fr-FR"/>
        </w:rPr>
      </w:pPr>
      <w:r>
        <w:rPr>
          <w:rFonts w:eastAsia="Meiryo" w:cstheme="minorHAnsi"/>
          <w:color w:val="333333"/>
          <w:sz w:val="24"/>
          <w:szCs w:val="24"/>
          <w:lang w:val="fr-FR"/>
        </w:rPr>
        <w:t xml:space="preserve">Créée à Osaka au Japon en 1912, Yanmar a été la première entreprise à réussir à fabriquer un moteur diesel de petite taille se révélant particulièrement pratique en 1933. Pionnier de la technologie des moteurs diesel, Yanmar est un innovateur mondial dans une large gamme d’équipements industriels, des petits et grands moteurs aux machines et installations agricoles, en passant par les équipements de construction, les systèmes énergétiques, la marine, les machines-outils et les composants. Les activités commerciales mondiales de Yanmar couvrent sept domaines. Sur terre, en mer et en ville, Yanmar fournit des solutions avancées aux défis auxquels les clients sont confrontés, afin de réaliser un avenir durable. Pour plus d’informations, rendez-vous sur le site officiel de Yanmar Holdings Co., Ltd. : </w:t>
      </w:r>
      <w:hyperlink r:id="rId6" w:history="1">
        <w:r>
          <w:rPr>
            <w:rStyle w:val="Hyperlink"/>
            <w:rFonts w:eastAsia="Meiryo" w:cstheme="minorHAnsi"/>
            <w:sz w:val="24"/>
            <w:szCs w:val="24"/>
            <w:lang w:val="fr-FR"/>
          </w:rPr>
          <w:t>https://www.yanmar.com/global/about/</w:t>
        </w:r>
      </w:hyperlink>
    </w:p>
    <w:p w14:paraId="57B70861" w14:textId="77777777" w:rsidR="003821E3" w:rsidRPr="002C56B9" w:rsidRDefault="003821E3" w:rsidP="003821E3">
      <w:pPr>
        <w:spacing w:after="0" w:line="276" w:lineRule="auto"/>
        <w:textAlignment w:val="baseline"/>
        <w:rPr>
          <w:rFonts w:eastAsia="Meiryo" w:cstheme="minorHAnsi"/>
          <w:color w:val="333333"/>
          <w:sz w:val="24"/>
          <w:szCs w:val="24"/>
          <w:lang w:val="fr-FR"/>
        </w:rPr>
      </w:pPr>
    </w:p>
    <w:tbl>
      <w:tblPr>
        <w:tblpPr w:leftFromText="180" w:rightFromText="180" w:vertAnchor="text" w:horzAnchor="margin" w:tblpY="-71"/>
        <w:tblW w:w="9275" w:type="dxa"/>
        <w:tblLook w:val="04A0" w:firstRow="1" w:lastRow="0" w:firstColumn="1" w:lastColumn="0" w:noHBand="0" w:noVBand="1"/>
      </w:tblPr>
      <w:tblGrid>
        <w:gridCol w:w="1466"/>
        <w:gridCol w:w="8365"/>
      </w:tblGrid>
      <w:tr w:rsidR="003821E3" w:rsidRPr="002C56B9" w14:paraId="77C224CF" w14:textId="77777777" w:rsidTr="00D1551B">
        <w:trPr>
          <w:trHeight w:val="400"/>
        </w:trPr>
        <w:tc>
          <w:tcPr>
            <w:tcW w:w="910" w:type="dxa"/>
            <w:noWrap/>
            <w:vAlign w:val="center"/>
            <w:hideMark/>
          </w:tcPr>
          <w:p w14:paraId="23C967B4" w14:textId="77777777" w:rsidR="003821E3" w:rsidRPr="002C56B9" w:rsidRDefault="003821E3" w:rsidP="00D1551B">
            <w:pPr>
              <w:spacing w:after="0" w:line="240" w:lineRule="auto"/>
              <w:jc w:val="both"/>
              <w:rPr>
                <w:rFonts w:eastAsia="Times New Roman" w:cstheme="minorHAnsi"/>
                <w:color w:val="000000"/>
                <w:sz w:val="20"/>
                <w:szCs w:val="20"/>
              </w:rPr>
            </w:pPr>
            <w:r w:rsidRPr="002C56B9">
              <w:rPr>
                <w:rFonts w:eastAsia="Times New Roman" w:cstheme="minorHAnsi"/>
                <w:color w:val="000000"/>
                <w:sz w:val="20"/>
                <w:szCs w:val="20"/>
                <w:lang w:val="fr-FR"/>
              </w:rPr>
              <w:t>COMMUNIQUÉ RÉDIGÉ POUR :</w:t>
            </w:r>
          </w:p>
        </w:tc>
        <w:tc>
          <w:tcPr>
            <w:tcW w:w="8365" w:type="dxa"/>
            <w:noWrap/>
            <w:vAlign w:val="center"/>
            <w:hideMark/>
          </w:tcPr>
          <w:p w14:paraId="009C1E8A" w14:textId="77777777" w:rsidR="003821E3" w:rsidRPr="002C56B9" w:rsidRDefault="003821E3" w:rsidP="00D1551B">
            <w:pPr>
              <w:spacing w:after="0" w:line="240" w:lineRule="auto"/>
              <w:jc w:val="both"/>
              <w:rPr>
                <w:rFonts w:eastAsia="Times New Roman" w:cstheme="minorHAnsi"/>
                <w:color w:val="000000"/>
                <w:sz w:val="20"/>
                <w:szCs w:val="20"/>
                <w:lang w:val="fr-FR"/>
              </w:rPr>
            </w:pPr>
            <w:r w:rsidRPr="002C56B9">
              <w:rPr>
                <w:rFonts w:eastAsia="Times New Roman" w:cstheme="minorHAnsi"/>
                <w:color w:val="000000"/>
                <w:sz w:val="20"/>
                <w:szCs w:val="20"/>
                <w:lang w:val="fr-FR"/>
              </w:rPr>
              <w:t xml:space="preserve">YANMAR Europe BV, BP 30112, 1303 AC Almere, Pays-Bas et </w:t>
            </w:r>
          </w:p>
          <w:p w14:paraId="004C45D1" w14:textId="77777777" w:rsidR="003821E3" w:rsidRPr="002C56B9" w:rsidRDefault="003821E3" w:rsidP="00D1551B">
            <w:pPr>
              <w:spacing w:after="0" w:line="240" w:lineRule="auto"/>
              <w:jc w:val="both"/>
              <w:rPr>
                <w:rFonts w:eastAsia="Times New Roman" w:cstheme="minorHAnsi"/>
                <w:color w:val="000000"/>
                <w:sz w:val="20"/>
                <w:szCs w:val="20"/>
              </w:rPr>
            </w:pPr>
            <w:r w:rsidRPr="002C56B9">
              <w:rPr>
                <w:rFonts w:eastAsia="Times New Roman" w:cstheme="minorHAnsi"/>
                <w:color w:val="000000"/>
                <w:sz w:val="20"/>
                <w:szCs w:val="20"/>
                <w:lang w:val="en-US"/>
              </w:rPr>
              <w:t xml:space="preserve">International Tractors Limited, Plot No. 10, Teri </w:t>
            </w:r>
            <w:proofErr w:type="spellStart"/>
            <w:r w:rsidRPr="002C56B9">
              <w:rPr>
                <w:rFonts w:eastAsia="Times New Roman" w:cstheme="minorHAnsi"/>
                <w:color w:val="000000"/>
                <w:sz w:val="20"/>
                <w:szCs w:val="20"/>
                <w:lang w:val="en-US"/>
              </w:rPr>
              <w:t>Univeristy</w:t>
            </w:r>
            <w:proofErr w:type="spellEnd"/>
            <w:r w:rsidRPr="002C56B9">
              <w:rPr>
                <w:rFonts w:eastAsia="Times New Roman" w:cstheme="minorHAnsi"/>
                <w:color w:val="000000"/>
                <w:sz w:val="20"/>
                <w:szCs w:val="20"/>
                <w:lang w:val="en-US"/>
              </w:rPr>
              <w:t xml:space="preserve"> Campus, Institutional Area, </w:t>
            </w:r>
          </w:p>
          <w:p w14:paraId="091F0074" w14:textId="77777777" w:rsidR="003821E3" w:rsidRPr="002C56B9" w:rsidRDefault="003821E3" w:rsidP="00D1551B">
            <w:pPr>
              <w:spacing w:after="0" w:line="240" w:lineRule="auto"/>
              <w:jc w:val="both"/>
              <w:rPr>
                <w:rFonts w:eastAsia="Times New Roman" w:cstheme="minorHAnsi"/>
                <w:color w:val="000000"/>
                <w:sz w:val="20"/>
                <w:szCs w:val="20"/>
              </w:rPr>
            </w:pPr>
            <w:r w:rsidRPr="002C56B9">
              <w:rPr>
                <w:rFonts w:eastAsia="Times New Roman" w:cstheme="minorHAnsi"/>
                <w:color w:val="000000"/>
                <w:sz w:val="20"/>
                <w:szCs w:val="20"/>
                <w:lang w:val="fr-FR"/>
              </w:rPr>
              <w:t xml:space="preserve">Vasant Kunj, New Delhi - 110070 </w:t>
            </w:r>
          </w:p>
          <w:p w14:paraId="0561107C" w14:textId="77777777" w:rsidR="003821E3" w:rsidRPr="002C56B9" w:rsidRDefault="003821E3" w:rsidP="00D1551B">
            <w:pPr>
              <w:spacing w:after="0" w:line="240" w:lineRule="auto"/>
              <w:jc w:val="both"/>
              <w:rPr>
                <w:rFonts w:eastAsia="Times New Roman" w:cstheme="minorHAnsi"/>
                <w:color w:val="000000"/>
                <w:sz w:val="20"/>
                <w:szCs w:val="20"/>
              </w:rPr>
            </w:pPr>
          </w:p>
        </w:tc>
      </w:tr>
      <w:tr w:rsidR="003821E3" w:rsidRPr="002C56B9" w14:paraId="6B7B8749" w14:textId="77777777" w:rsidTr="00D1551B">
        <w:trPr>
          <w:trHeight w:val="400"/>
        </w:trPr>
        <w:tc>
          <w:tcPr>
            <w:tcW w:w="910" w:type="dxa"/>
            <w:noWrap/>
            <w:vAlign w:val="center"/>
            <w:hideMark/>
          </w:tcPr>
          <w:p w14:paraId="6E0B0924" w14:textId="77777777" w:rsidR="003821E3" w:rsidRPr="002C56B9" w:rsidRDefault="003821E3" w:rsidP="00D1551B">
            <w:pPr>
              <w:spacing w:after="0" w:line="240" w:lineRule="auto"/>
              <w:jc w:val="both"/>
              <w:rPr>
                <w:rFonts w:eastAsia="Times New Roman" w:cstheme="minorHAnsi"/>
                <w:color w:val="000000"/>
                <w:sz w:val="20"/>
                <w:szCs w:val="20"/>
              </w:rPr>
            </w:pPr>
            <w:r w:rsidRPr="002C56B9">
              <w:rPr>
                <w:rFonts w:eastAsia="Times New Roman" w:cstheme="minorHAnsi"/>
                <w:color w:val="000000"/>
                <w:sz w:val="20"/>
                <w:szCs w:val="20"/>
                <w:lang w:val="fr-FR"/>
              </w:rPr>
              <w:t>NOTE ÉDITORIALE :</w:t>
            </w:r>
          </w:p>
        </w:tc>
        <w:tc>
          <w:tcPr>
            <w:tcW w:w="8365" w:type="dxa"/>
            <w:noWrap/>
            <w:vAlign w:val="center"/>
            <w:hideMark/>
          </w:tcPr>
          <w:p w14:paraId="386A924E" w14:textId="77777777" w:rsidR="003821E3" w:rsidRPr="002C56B9" w:rsidRDefault="003821E3" w:rsidP="00D1551B">
            <w:pPr>
              <w:spacing w:after="0" w:line="240" w:lineRule="auto"/>
              <w:jc w:val="both"/>
              <w:rPr>
                <w:rFonts w:eastAsia="Times New Roman" w:cstheme="minorHAnsi"/>
                <w:color w:val="000000"/>
                <w:sz w:val="20"/>
                <w:szCs w:val="20"/>
                <w:lang w:val="fr-FR"/>
              </w:rPr>
            </w:pPr>
            <w:r w:rsidRPr="002C56B9">
              <w:rPr>
                <w:rFonts w:eastAsia="Times New Roman" w:cstheme="minorHAnsi"/>
                <w:color w:val="000000"/>
                <w:sz w:val="20"/>
                <w:szCs w:val="20"/>
                <w:lang w:val="fr-FR"/>
              </w:rPr>
              <w:t>L’ensemble des noms de marque et marques déposées est reconnu et respecté</w:t>
            </w:r>
          </w:p>
        </w:tc>
      </w:tr>
      <w:tr w:rsidR="003821E3" w:rsidRPr="002C56B9" w14:paraId="0131256C" w14:textId="77777777" w:rsidTr="00D1551B">
        <w:trPr>
          <w:trHeight w:val="400"/>
        </w:trPr>
        <w:tc>
          <w:tcPr>
            <w:tcW w:w="910" w:type="dxa"/>
            <w:noWrap/>
            <w:vAlign w:val="center"/>
            <w:hideMark/>
          </w:tcPr>
          <w:p w14:paraId="7D01EA43" w14:textId="77777777" w:rsidR="003821E3" w:rsidRPr="002C56B9" w:rsidRDefault="003821E3" w:rsidP="00D1551B">
            <w:pPr>
              <w:spacing w:after="0" w:line="240" w:lineRule="auto"/>
              <w:jc w:val="both"/>
              <w:rPr>
                <w:rFonts w:eastAsia="Times New Roman" w:cstheme="minorHAnsi"/>
                <w:color w:val="000000"/>
                <w:sz w:val="20"/>
                <w:szCs w:val="20"/>
              </w:rPr>
            </w:pPr>
            <w:r w:rsidRPr="002C56B9">
              <w:rPr>
                <w:rFonts w:eastAsia="Times New Roman" w:cstheme="minorHAnsi"/>
                <w:color w:val="000000"/>
                <w:sz w:val="20"/>
                <w:szCs w:val="20"/>
                <w:lang w:val="fr-FR"/>
              </w:rPr>
              <w:t>IMAGES HAUTE RÉSOLUTION :</w:t>
            </w:r>
          </w:p>
        </w:tc>
        <w:tc>
          <w:tcPr>
            <w:tcW w:w="8365" w:type="dxa"/>
            <w:noWrap/>
            <w:vAlign w:val="center"/>
          </w:tcPr>
          <w:p w14:paraId="4D84F829" w14:textId="2121B298" w:rsidR="003821E3" w:rsidRPr="002C56B9" w:rsidRDefault="002C56B9" w:rsidP="00D1551B">
            <w:pPr>
              <w:spacing w:after="0" w:line="240" w:lineRule="auto"/>
              <w:jc w:val="both"/>
              <w:rPr>
                <w:rFonts w:eastAsia="Times New Roman" w:cstheme="minorHAnsi"/>
                <w:color w:val="000000"/>
                <w:sz w:val="20"/>
                <w:szCs w:val="20"/>
              </w:rPr>
            </w:pPr>
            <w:hyperlink r:id="rId7" w:history="1">
              <w:r w:rsidRPr="002C56B9">
                <w:rPr>
                  <w:rStyle w:val="Hyperlink"/>
                  <w:rFonts w:eastAsia="Times New Roman" w:cstheme="minorHAnsi"/>
                  <w:sz w:val="20"/>
                  <w:szCs w:val="20"/>
                  <w:lang w:val="en-GB"/>
                </w:rPr>
                <w:t>https://www.yanmar.com/eu/agri/</w:t>
              </w:r>
              <w:r w:rsidRPr="002C56B9">
                <w:rPr>
                  <w:rStyle w:val="Hyperlink"/>
                  <w:rFonts w:eastAsia="Times New Roman" w:cstheme="minorHAnsi"/>
                  <w:sz w:val="20"/>
                  <w:szCs w:val="20"/>
                  <w:lang w:val="en-GB"/>
                </w:rPr>
                <w:t>f</w:t>
              </w:r>
              <w:r w:rsidRPr="002C56B9">
                <w:rPr>
                  <w:rStyle w:val="Hyperlink"/>
                  <w:rFonts w:cstheme="minorHAnsi"/>
                  <w:sz w:val="20"/>
                  <w:szCs w:val="20"/>
                </w:rPr>
                <w:t>r/</w:t>
              </w:r>
              <w:proofErr w:type="spellStart"/>
              <w:r w:rsidRPr="002C56B9">
                <w:rPr>
                  <w:rStyle w:val="Hyperlink"/>
                  <w:rFonts w:eastAsia="Times New Roman" w:cstheme="minorHAnsi"/>
                  <w:sz w:val="20"/>
                  <w:szCs w:val="20"/>
                  <w:lang w:val="en-GB"/>
                </w:rPr>
                <w:t>yanmar-itl</w:t>
              </w:r>
              <w:proofErr w:type="spellEnd"/>
            </w:hyperlink>
            <w:r w:rsidRPr="002C56B9">
              <w:rPr>
                <w:rFonts w:eastAsia="Times New Roman" w:cstheme="minorHAnsi"/>
                <w:color w:val="000000"/>
                <w:sz w:val="20"/>
                <w:szCs w:val="20"/>
                <w:lang w:val="en-GB"/>
              </w:rPr>
              <w:t xml:space="preserve"> </w:t>
            </w:r>
          </w:p>
        </w:tc>
      </w:tr>
      <w:tr w:rsidR="003821E3" w:rsidRPr="002C56B9" w14:paraId="30B29DB9" w14:textId="77777777" w:rsidTr="00D1551B">
        <w:trPr>
          <w:trHeight w:val="400"/>
        </w:trPr>
        <w:tc>
          <w:tcPr>
            <w:tcW w:w="910" w:type="dxa"/>
            <w:noWrap/>
            <w:vAlign w:val="center"/>
            <w:hideMark/>
          </w:tcPr>
          <w:p w14:paraId="5575629F" w14:textId="77777777" w:rsidR="003821E3" w:rsidRPr="002C56B9" w:rsidRDefault="003821E3" w:rsidP="00D1551B">
            <w:pPr>
              <w:spacing w:after="0" w:line="240" w:lineRule="auto"/>
              <w:jc w:val="both"/>
              <w:rPr>
                <w:rFonts w:eastAsia="Times New Roman" w:cstheme="minorHAnsi"/>
                <w:color w:val="000000"/>
                <w:sz w:val="20"/>
                <w:szCs w:val="20"/>
                <w:lang w:val="fr-FR"/>
              </w:rPr>
            </w:pPr>
            <w:r w:rsidRPr="002C56B9">
              <w:rPr>
                <w:rFonts w:eastAsia="Times New Roman" w:cstheme="minorHAnsi"/>
                <w:color w:val="000000"/>
                <w:sz w:val="20"/>
                <w:szCs w:val="20"/>
                <w:lang w:val="fr-FR"/>
              </w:rPr>
              <w:t>DEMANDES LECTEURS ET MÉDIAS À ADRESSER À :</w:t>
            </w:r>
          </w:p>
        </w:tc>
        <w:tc>
          <w:tcPr>
            <w:tcW w:w="8365" w:type="dxa"/>
            <w:noWrap/>
            <w:vAlign w:val="center"/>
            <w:hideMark/>
          </w:tcPr>
          <w:p w14:paraId="1355450F" w14:textId="77777777" w:rsidR="003821E3" w:rsidRPr="002C56B9" w:rsidRDefault="003821E3" w:rsidP="00D1551B">
            <w:pPr>
              <w:spacing w:after="0" w:line="240" w:lineRule="auto"/>
              <w:jc w:val="both"/>
              <w:rPr>
                <w:rFonts w:eastAsia="Times New Roman" w:cstheme="minorHAnsi"/>
                <w:color w:val="000000"/>
                <w:sz w:val="20"/>
                <w:szCs w:val="20"/>
              </w:rPr>
            </w:pPr>
            <w:r w:rsidRPr="002C56B9">
              <w:rPr>
                <w:rFonts w:eastAsia="Times New Roman" w:cstheme="minorHAnsi"/>
                <w:color w:val="000000"/>
                <w:sz w:val="20"/>
                <w:szCs w:val="20"/>
                <w:lang w:val="en-US"/>
              </w:rPr>
              <w:t>Himanshu Rawat</w:t>
            </w:r>
          </w:p>
          <w:p w14:paraId="4947007A" w14:textId="77777777" w:rsidR="003821E3" w:rsidRPr="002C56B9" w:rsidRDefault="003821E3" w:rsidP="00D1551B">
            <w:pPr>
              <w:spacing w:after="0" w:line="240" w:lineRule="auto"/>
              <w:jc w:val="both"/>
              <w:rPr>
                <w:rFonts w:eastAsia="Times New Roman" w:cstheme="minorHAnsi"/>
                <w:color w:val="000000"/>
                <w:sz w:val="20"/>
                <w:szCs w:val="20"/>
              </w:rPr>
            </w:pPr>
            <w:r w:rsidRPr="002C56B9">
              <w:rPr>
                <w:rFonts w:eastAsia="Times New Roman" w:cstheme="minorHAnsi"/>
                <w:color w:val="000000"/>
                <w:sz w:val="20"/>
                <w:szCs w:val="20"/>
                <w:lang w:val="en-US"/>
              </w:rPr>
              <w:t>International Tractors Limited</w:t>
            </w:r>
          </w:p>
          <w:p w14:paraId="43EA32B8" w14:textId="77777777" w:rsidR="003821E3" w:rsidRPr="002C56B9" w:rsidRDefault="003821E3" w:rsidP="00D1551B">
            <w:pPr>
              <w:spacing w:after="0" w:line="240" w:lineRule="auto"/>
              <w:jc w:val="both"/>
              <w:rPr>
                <w:rFonts w:eastAsia="Times New Roman" w:cstheme="minorHAnsi"/>
                <w:color w:val="000000"/>
                <w:sz w:val="20"/>
                <w:szCs w:val="20"/>
              </w:rPr>
            </w:pPr>
            <w:r w:rsidRPr="002C56B9">
              <w:rPr>
                <w:rFonts w:eastAsia="Times New Roman" w:cstheme="minorHAnsi"/>
                <w:color w:val="000000"/>
                <w:sz w:val="20"/>
                <w:szCs w:val="20"/>
                <w:lang w:val="en-US"/>
              </w:rPr>
              <w:t xml:space="preserve">Plot No. 10, Teri </w:t>
            </w:r>
            <w:proofErr w:type="spellStart"/>
            <w:r w:rsidRPr="002C56B9">
              <w:rPr>
                <w:rFonts w:eastAsia="Times New Roman" w:cstheme="minorHAnsi"/>
                <w:color w:val="000000"/>
                <w:sz w:val="20"/>
                <w:szCs w:val="20"/>
                <w:lang w:val="en-US"/>
              </w:rPr>
              <w:t>Univeristy</w:t>
            </w:r>
            <w:proofErr w:type="spellEnd"/>
            <w:r w:rsidRPr="002C56B9">
              <w:rPr>
                <w:rFonts w:eastAsia="Times New Roman" w:cstheme="minorHAnsi"/>
                <w:color w:val="000000"/>
                <w:sz w:val="20"/>
                <w:szCs w:val="20"/>
                <w:lang w:val="en-US"/>
              </w:rPr>
              <w:t xml:space="preserve"> Campus, Institutional Area, </w:t>
            </w:r>
          </w:p>
          <w:p w14:paraId="0AA893FD" w14:textId="77777777" w:rsidR="003821E3" w:rsidRPr="002C56B9" w:rsidRDefault="003821E3" w:rsidP="00D1551B">
            <w:pPr>
              <w:spacing w:after="0" w:line="240" w:lineRule="auto"/>
              <w:jc w:val="both"/>
              <w:rPr>
                <w:rFonts w:eastAsia="Times New Roman" w:cstheme="minorHAnsi"/>
                <w:color w:val="000000"/>
                <w:sz w:val="20"/>
                <w:szCs w:val="20"/>
                <w:lang w:val="de-DE"/>
              </w:rPr>
            </w:pPr>
            <w:r w:rsidRPr="002C56B9">
              <w:rPr>
                <w:rFonts w:eastAsia="Times New Roman" w:cstheme="minorHAnsi"/>
                <w:color w:val="000000"/>
                <w:sz w:val="20"/>
                <w:szCs w:val="20"/>
                <w:lang w:val="de-DE"/>
              </w:rPr>
              <w:t xml:space="preserve">Vasant Kunj, New Delhi - 110070 </w:t>
            </w:r>
          </w:p>
          <w:p w14:paraId="00420DE8" w14:textId="77777777" w:rsidR="003821E3" w:rsidRPr="002C56B9" w:rsidRDefault="003821E3" w:rsidP="00D1551B">
            <w:pPr>
              <w:spacing w:after="0" w:line="240" w:lineRule="auto"/>
              <w:jc w:val="both"/>
              <w:rPr>
                <w:rStyle w:val="Hyperlink"/>
                <w:rFonts w:cstheme="minorHAnsi"/>
                <w:sz w:val="20"/>
                <w:szCs w:val="20"/>
                <w:lang w:val="de-DE"/>
              </w:rPr>
            </w:pPr>
            <w:r w:rsidRPr="002C56B9">
              <w:rPr>
                <w:rStyle w:val="Hyperlink"/>
                <w:rFonts w:cstheme="minorHAnsi"/>
                <w:sz w:val="20"/>
                <w:szCs w:val="20"/>
                <w:lang w:val="de-DE"/>
              </w:rPr>
              <w:t>Himanshu.rawat@sonalika.com</w:t>
            </w:r>
          </w:p>
          <w:p w14:paraId="011C2B37" w14:textId="77777777" w:rsidR="003821E3" w:rsidRPr="002C56B9" w:rsidRDefault="003821E3" w:rsidP="00D1551B">
            <w:pPr>
              <w:spacing w:after="0" w:line="240" w:lineRule="auto"/>
              <w:jc w:val="both"/>
              <w:rPr>
                <w:rFonts w:eastAsia="Times New Roman" w:cstheme="minorHAnsi"/>
                <w:color w:val="000000"/>
                <w:sz w:val="20"/>
                <w:szCs w:val="20"/>
              </w:rPr>
            </w:pPr>
            <w:r w:rsidRPr="002C56B9">
              <w:rPr>
                <w:rFonts w:eastAsia="Times New Roman" w:cstheme="minorHAnsi"/>
                <w:color w:val="000000"/>
                <w:sz w:val="20"/>
                <w:szCs w:val="20"/>
                <w:lang w:val="fr-FR"/>
              </w:rPr>
              <w:t xml:space="preserve">Dana van Kammen, Marketing. A. Manager </w:t>
            </w:r>
          </w:p>
        </w:tc>
      </w:tr>
      <w:tr w:rsidR="003821E3" w:rsidRPr="002C56B9" w14:paraId="40932F16" w14:textId="77777777" w:rsidTr="00D1551B">
        <w:trPr>
          <w:trHeight w:val="400"/>
        </w:trPr>
        <w:tc>
          <w:tcPr>
            <w:tcW w:w="910" w:type="dxa"/>
            <w:noWrap/>
            <w:vAlign w:val="center"/>
            <w:hideMark/>
          </w:tcPr>
          <w:p w14:paraId="4F5981A8" w14:textId="77777777" w:rsidR="003821E3" w:rsidRPr="002C56B9" w:rsidRDefault="003821E3" w:rsidP="00D1551B">
            <w:pPr>
              <w:spacing w:after="0" w:line="240" w:lineRule="auto"/>
              <w:jc w:val="both"/>
              <w:rPr>
                <w:rFonts w:eastAsia="Times New Roman" w:cstheme="minorHAnsi"/>
                <w:color w:val="000000"/>
                <w:sz w:val="20"/>
                <w:szCs w:val="20"/>
              </w:rPr>
            </w:pPr>
          </w:p>
        </w:tc>
        <w:tc>
          <w:tcPr>
            <w:tcW w:w="8365" w:type="dxa"/>
            <w:noWrap/>
            <w:vAlign w:val="center"/>
            <w:hideMark/>
          </w:tcPr>
          <w:p w14:paraId="37CFF913" w14:textId="77777777" w:rsidR="003821E3" w:rsidRPr="002C56B9" w:rsidRDefault="003821E3" w:rsidP="00D1551B">
            <w:pPr>
              <w:spacing w:after="0" w:line="240" w:lineRule="auto"/>
              <w:jc w:val="both"/>
              <w:rPr>
                <w:rFonts w:eastAsia="Times New Roman" w:cstheme="minorHAnsi"/>
                <w:color w:val="000000"/>
                <w:sz w:val="20"/>
                <w:szCs w:val="20"/>
              </w:rPr>
            </w:pPr>
            <w:r w:rsidRPr="002C56B9">
              <w:rPr>
                <w:rFonts w:eastAsia="Times New Roman" w:cstheme="minorHAnsi"/>
                <w:color w:val="000000"/>
                <w:sz w:val="20"/>
                <w:szCs w:val="20"/>
                <w:lang w:val="fr-FR"/>
              </w:rPr>
              <w:t xml:space="preserve">YANMAR Europe BV, Marketing dpt, BP 30112, 1303 AC Almere, Pays-Bas, </w:t>
            </w:r>
            <w:hyperlink r:id="rId8" w:history="1">
              <w:r w:rsidRPr="002C56B9">
                <w:rPr>
                  <w:rStyle w:val="Hyperlink"/>
                  <w:rFonts w:eastAsia="Times New Roman" w:cstheme="minorHAnsi"/>
                  <w:sz w:val="20"/>
                  <w:szCs w:val="20"/>
                  <w:u w:val="none"/>
                  <w:lang w:val="fr-FR"/>
                </w:rPr>
                <w:t>d</w:t>
              </w:r>
              <w:r w:rsidRPr="002C56B9">
                <w:rPr>
                  <w:rStyle w:val="Hyperlink"/>
                  <w:rFonts w:cstheme="minorHAnsi"/>
                  <w:sz w:val="20"/>
                  <w:szCs w:val="20"/>
                  <w:lang w:val="fr-FR"/>
                </w:rPr>
                <w:t>ana_vankammen@yanmar.com</w:t>
              </w:r>
            </w:hyperlink>
          </w:p>
        </w:tc>
      </w:tr>
    </w:tbl>
    <w:p w14:paraId="5E095B4E" w14:textId="132965A6" w:rsidR="003821E3" w:rsidRPr="002C56B9" w:rsidRDefault="003821E3" w:rsidP="003821E3">
      <w:pPr>
        <w:spacing w:after="0" w:line="276" w:lineRule="auto"/>
        <w:textAlignment w:val="baseline"/>
        <w:rPr>
          <w:rFonts w:eastAsia="Meiryo" w:cstheme="minorHAnsi"/>
          <w:color w:val="333333"/>
          <w:sz w:val="24"/>
          <w:szCs w:val="24"/>
        </w:rPr>
      </w:pPr>
      <w:r w:rsidRPr="002C56B9">
        <w:rPr>
          <w:rFonts w:eastAsia="Meiryo" w:cstheme="minorHAnsi"/>
          <w:color w:val="333333"/>
          <w:sz w:val="24"/>
          <w:szCs w:val="24"/>
          <w:lang w:val="fr-FR"/>
        </w:rPr>
        <w:t xml:space="preserve">FIN </w:t>
      </w:r>
    </w:p>
    <w:sectPr w:rsidR="003821E3" w:rsidRPr="002C56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eiryo">
    <w:panose1 w:val="020B0604030504040204"/>
    <w:charset w:val="80"/>
    <w:family w:val="swiss"/>
    <w:pitch w:val="variable"/>
    <w:sig w:usb0="E00002FF" w:usb1="6AC7FFFF"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21E3"/>
    <w:rsid w:val="002331CC"/>
    <w:rsid w:val="002C56B9"/>
    <w:rsid w:val="003821E3"/>
    <w:rsid w:val="006B289A"/>
    <w:rsid w:val="00946EAD"/>
    <w:rsid w:val="00B4294C"/>
    <w:rsid w:val="00B75EE8"/>
    <w:rsid w:val="00E02D52"/>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7C578E"/>
  <w15:chartTrackingRefBased/>
  <w15:docId w15:val="{6B4413D2-6EFA-47A6-B694-0309DAC01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1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821E3"/>
    <w:rPr>
      <w:b/>
      <w:bCs/>
    </w:rPr>
  </w:style>
  <w:style w:type="paragraph" w:styleId="NormalWeb">
    <w:name w:val="Normal (Web)"/>
    <w:basedOn w:val="Normal"/>
    <w:uiPriority w:val="99"/>
    <w:semiHidden/>
    <w:unhideWhenUsed/>
    <w:rsid w:val="003821E3"/>
    <w:pPr>
      <w:spacing w:before="100" w:beforeAutospacing="1" w:after="100" w:afterAutospacing="1" w:line="240" w:lineRule="auto"/>
    </w:pPr>
    <w:rPr>
      <w:rFonts w:ascii="Times New Roman" w:eastAsia="Times New Roman" w:hAnsi="Times New Roman" w:cs="Times New Roman"/>
      <w:sz w:val="24"/>
      <w:szCs w:val="24"/>
      <w:lang w:val="en-US" w:eastAsia="ja-JP"/>
    </w:rPr>
  </w:style>
  <w:style w:type="character" w:styleId="Hyperlink">
    <w:name w:val="Hyperlink"/>
    <w:basedOn w:val="DefaultParagraphFont"/>
    <w:uiPriority w:val="99"/>
    <w:unhideWhenUsed/>
    <w:rsid w:val="003821E3"/>
    <w:rPr>
      <w:color w:val="0563C1" w:themeColor="hyperlink"/>
      <w:u w:val="single"/>
    </w:rPr>
  </w:style>
  <w:style w:type="character" w:styleId="UnresolvedMention">
    <w:name w:val="Unresolved Mention"/>
    <w:basedOn w:val="DefaultParagraphFont"/>
    <w:uiPriority w:val="99"/>
    <w:semiHidden/>
    <w:unhideWhenUsed/>
    <w:rsid w:val="002C56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na_vankammen@yanmar.com" TargetMode="External"/><Relationship Id="rId3" Type="http://schemas.openxmlformats.org/officeDocument/2006/relationships/webSettings" Target="webSettings.xml"/><Relationship Id="rId7" Type="http://schemas.openxmlformats.org/officeDocument/2006/relationships/hyperlink" Target="https://www.yanmar.com/eu/agri/fr/yanmar-it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anmar.com/global/about/"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738</Words>
  <Characters>4161</Characters>
  <Application>Microsoft Office Word</Application>
  <DocSecurity>0</DocSecurity>
  <Lines>99</Lines>
  <Paragraphs>36</Paragraphs>
  <ScaleCrop>false</ScaleCrop>
  <Company/>
  <LinksUpToDate>false</LinksUpToDate>
  <CharactersWithSpaces>4863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Dheeraj Singh (Export-DL)</dc:creator>
  <cp:keywords/>
  <dc:description/>
  <cp:lastModifiedBy>MULDER Kim (Kim Mulder)</cp:lastModifiedBy>
  <cp:revision>3</cp:revision>
  <dcterms:created xsi:type="dcterms:W3CDTF">2023-11-07T11:36:00Z</dcterms:created>
  <dcterms:modified xsi:type="dcterms:W3CDTF">2023-11-09T11:09:00Z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27e9e6bec12ec59486e16053f89074f5efa761d91a0b3243f97d8c5cc5c8a925</vt:lpwstr>
  </property>
</Properties>
</file>